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72801">
      <w:pPr>
        <w:pStyle w:val="11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1"/>
      <w:bookmarkStart w:id="1" w:name="OLE_LINK12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16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 </w:t>
      </w:r>
      <w:r>
        <w:rPr>
          <w:b/>
          <w:sz w:val="24"/>
          <w:szCs w:val="24"/>
          <w:highlight w:val="none"/>
        </w:rPr>
        <w:t xml:space="preserve">  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510147</w:t>
      </w:r>
      <w:r>
        <w:rPr>
          <w:b/>
          <w:sz w:val="24"/>
          <w:szCs w:val="24"/>
          <w:highlight w:val="none"/>
        </w:rPr>
        <w:t xml:space="preserve">                      </w:t>
      </w:r>
    </w:p>
    <w:bookmarkEnd w:id="0"/>
    <w:bookmarkEnd w:id="1"/>
    <w:p w14:paraId="5C25862B">
      <w:pPr>
        <w:pStyle w:val="11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Bengaluru, India, August 25</w:t>
      </w:r>
      <w:r>
        <w:rPr>
          <w:rFonts w:hint="default" w:ascii="Times New Roman" w:hAnsi="Times New Roman" w:eastAsia="宋体" w:cs="Times New Roman"/>
          <w:b/>
          <w:sz w:val="24"/>
          <w:szCs w:val="24"/>
          <w:vertAlign w:val="superscript"/>
          <w:lang w:eastAsia="zh-CN"/>
        </w:rPr>
        <w:t>th</w:t>
      </w: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 xml:space="preserve"> – 29</w:t>
      </w:r>
      <w:r>
        <w:rPr>
          <w:rFonts w:hint="default" w:ascii="Times New Roman" w:hAnsi="Times New Roman" w:eastAsia="宋体" w:cs="Times New Roman"/>
          <w:b/>
          <w:sz w:val="24"/>
          <w:szCs w:val="24"/>
          <w:vertAlign w:val="superscript"/>
          <w:lang w:eastAsia="zh-CN"/>
        </w:rPr>
        <w:t>th</w:t>
      </w: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,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 xml:space="preserve"> 2025</w:t>
      </w:r>
    </w:p>
    <w:p w14:paraId="56083C7C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752B8501">
      <w:pPr>
        <w:tabs>
          <w:tab w:val="left" w:pos="1765"/>
        </w:tabs>
        <w:rPr>
          <w:rFonts w:hint="default" w:ascii="Times New Roman" w:hAnsi="Times New Roman" w:eastAsia="宋体"/>
          <w:b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7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25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3.3</w:t>
      </w:r>
    </w:p>
    <w:p w14:paraId="1995E771">
      <w:pPr>
        <w:tabs>
          <w:tab w:val="left" w:pos="1765"/>
        </w:tabs>
        <w:rPr>
          <w:rFonts w:ascii="Times New Roman" w:hAnsi="Times New Roman"/>
          <w:sz w:val="22"/>
          <w:highlight w:val="none"/>
        </w:rPr>
      </w:pPr>
      <w:r>
        <w:rPr>
          <w:rFonts w:ascii="Times New Roman" w:hAnsi="Times New Roman"/>
          <w:b/>
          <w:sz w:val="22"/>
          <w:highlight w:val="none"/>
        </w:rPr>
        <w:t xml:space="preserve">Source: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sz w:val="22"/>
          <w:highlight w:val="none"/>
        </w:rPr>
        <w:t>CMCC</w:t>
      </w:r>
    </w:p>
    <w:p w14:paraId="617C28F3">
      <w:pPr>
        <w:rPr>
          <w:rFonts w:hint="default" w:ascii="Times New Roman" w:hAnsi="Times New Roman" w:eastAsia="宋体"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 xml:space="preserve">Title: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bookmarkStart w:id="2" w:name="OLE_LINK23"/>
      <w:bookmarkStart w:id="3" w:name="OLE_LINK24"/>
      <w:bookmarkStart w:id="4" w:name="OLE_LINK8"/>
      <w:bookmarkStart w:id="5" w:name="OLE_LINK7"/>
      <w:r>
        <w:rPr>
          <w:rFonts w:hint="eastAsia" w:ascii="Times New Roman" w:hAnsi="Times New Roman"/>
          <w:b/>
          <w:sz w:val="22"/>
          <w:highlight w:val="none"/>
          <w:lang w:val="en-US" w:eastAsia="zh-CN"/>
        </w:rPr>
        <w:t xml:space="preserve"> </w:t>
      </w:r>
      <w:r>
        <w:rPr>
          <w:rFonts w:ascii="Times New Roman" w:hAnsi="Times New Roman"/>
          <w:sz w:val="22"/>
          <w:highlight w:val="none"/>
        </w:rPr>
        <w:t>D</w:t>
      </w:r>
      <w:r>
        <w:rPr>
          <w:rFonts w:hint="eastAsia" w:ascii="Times New Roman" w:hAnsi="Times New Roman"/>
          <w:sz w:val="22"/>
          <w:highlight w:val="none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highlight w:val="none"/>
          <w:lang w:val="en-US" w:eastAsia="zh-CN"/>
        </w:rPr>
        <w:t>conditional intra-CU LTM</w:t>
      </w:r>
    </w:p>
    <w:bookmarkEnd w:id="4"/>
    <w:bookmarkEnd w:id="5"/>
    <w:p w14:paraId="1AA4D720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729F324D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4F79E0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RAN #102 meeting, the new WID on NR mobility enhancements Phase 4 was approved [1]. In RAN #107 meeting, the revised WID was approved [2]. The detailed objectives are duplicated as following.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50C84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  <w:noWrap w:val="0"/>
            <w:vAlign w:val="top"/>
          </w:tcPr>
          <w:p w14:paraId="3813A833">
            <w:pPr>
              <w:numPr>
                <w:ilvl w:val="0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support for inter-CU Layer1/Layer 2 Triggered Mobility (LTM) [RAN2, RAN3]</w:t>
            </w:r>
          </w:p>
          <w:p w14:paraId="425963DF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Prioritize the case when CU is acting as MN when DC is not configured</w:t>
            </w:r>
          </w:p>
          <w:p w14:paraId="36E705BC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When DC is configured, inter-CU LTM can be configured either in MN or in SN but not both at the same time. For such cases:</w:t>
            </w:r>
          </w:p>
          <w:p w14:paraId="7182E520">
            <w:pPr>
              <w:numPr>
                <w:ilvl w:val="2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As secondary priority, support the case where CU is acting as SN and MN is unchanged</w:t>
            </w:r>
          </w:p>
          <w:p w14:paraId="561DD63C">
            <w:pPr>
              <w:numPr>
                <w:ilvl w:val="2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As secondary priority, support the case where CU is acting as MN and SN is unchanged or SN is released</w:t>
            </w:r>
          </w:p>
          <w:p w14:paraId="4F9917DA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highlight w:val="none"/>
              </w:rPr>
              <w:t>Specify support for subsequent LTM mobility procedures aiming to avoid RRC configuration between cell switches as per Rel-18 LTM</w:t>
            </w:r>
          </w:p>
          <w:p w14:paraId="450D4E98">
            <w:pPr>
              <w:numPr>
                <w:ilvl w:val="2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highlight w:val="none"/>
              </w:rPr>
              <w:t xml:space="preserve">Coordination with SA3 needed with respect to security key handling </w:t>
            </w:r>
          </w:p>
          <w:p w14:paraId="73934062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highlight w:val="none"/>
              </w:rPr>
              <w:t>Note: Rel. 18 intra-CU LTM procedure is considered as baseline for adding inter-CU support</w:t>
            </w:r>
          </w:p>
          <w:p w14:paraId="6481EDF9">
            <w:pPr>
              <w:numPr>
                <w:ilvl w:val="0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highlight w:val="none"/>
              </w:rPr>
              <w:t>Measurements re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lated enhancements for purpose of supporting LTM: [RAN2, RAN1]</w:t>
            </w:r>
          </w:p>
          <w:p w14:paraId="437F68FB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Measurement related enhancements are applicable to Intra-CU MCG/SCG LTM and Inter-CU MCG/SCG LTM</w:t>
            </w:r>
          </w:p>
          <w:p w14:paraId="2ED76EF4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necessary components to support event triggered L1 measurement reporting [RAN2, RAN1]</w:t>
            </w:r>
          </w:p>
          <w:p w14:paraId="7C511366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support for CSI-RS measurements for LTM procedures and enable CSI-RS based beam management [RAN1]</w:t>
            </w:r>
          </w:p>
          <w:p w14:paraId="002137F6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CSI acquisition on candidate cell(s) based on CSI-RS before or during LTM cell switch [RAN1]</w:t>
            </w:r>
          </w:p>
          <w:p w14:paraId="7DE9AF0E">
            <w:pPr>
              <w:pStyle w:val="17"/>
              <w:ind w:left="360" w:firstLine="36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NOTE: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RAN1 WG to decide on whether to support CSI report before or during the LTM cell switch, as part of the CSI acquisition procedure.</w:t>
            </w:r>
          </w:p>
          <w:p w14:paraId="3C212DF1">
            <w:pPr>
              <w:numPr>
                <w:ilvl w:val="0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support of conditional Intra-CU LTM [RAN2, RAN3, RAN1]</w:t>
            </w:r>
          </w:p>
          <w:p w14:paraId="2E370673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UE evaluated conditions for triggering LTM</w:t>
            </w:r>
          </w:p>
          <w:p w14:paraId="08188F36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Aim to support conditional LTM including subsequent LTM</w:t>
            </w:r>
          </w:p>
          <w:p w14:paraId="68567407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Limit specifying the conditional LTM to the scenario where the UE is in non-DC</w:t>
            </w:r>
          </w:p>
          <w:p w14:paraId="7B79EA47">
            <w:pPr>
              <w:numPr>
                <w:ilvl w:val="0"/>
                <w:numId w:val="0"/>
              </w:numPr>
              <w:spacing w:after="0"/>
              <w:ind w:left="720" w:left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9EDD781">
            <w:pPr>
              <w:numPr>
                <w:ilvl w:val="0"/>
                <w:numId w:val="3"/>
              </w:numPr>
              <w:spacing w:after="0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RRM requirements related to the above objectives as necessary [RAN4]</w:t>
            </w:r>
          </w:p>
        </w:tc>
      </w:tr>
    </w:tbl>
    <w:p w14:paraId="531837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last meeting, there was discussion on measurements related enhancements for LTM, and a WF was agreed [3]. T</w:t>
      </w:r>
      <w:r>
        <w:rPr>
          <w:rFonts w:hint="eastAsia" w:ascii="Times New Roman" w:hAnsi="Times New Roman"/>
          <w:sz w:val="20"/>
          <w:szCs w:val="20"/>
        </w:rPr>
        <w:t>his contribution provides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 xml:space="preserve">discussion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on conditional intra-CU LTM</w:t>
      </w:r>
      <w:r>
        <w:rPr>
          <w:rFonts w:hint="eastAsia" w:ascii="Times New Roman" w:hAnsi="Times New Roman"/>
          <w:bCs/>
          <w:iCs/>
          <w:sz w:val="20"/>
          <w:szCs w:val="20"/>
        </w:rPr>
        <w:t>.</w:t>
      </w:r>
    </w:p>
    <w:p w14:paraId="27A71BAC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default" w:ascii="Times New Roman" w:hAnsi="Times New Roman" w:eastAsia="宋体" w:cs="Times New Roman"/>
          <w:b w:val="0"/>
          <w:bCs w:val="0"/>
          <w:kern w:val="0"/>
          <w:sz w:val="36"/>
          <w:szCs w:val="36"/>
          <w:lang w:val="en-US" w:eastAsia="zh-CN"/>
        </w:rPr>
      </w:pPr>
      <w:r>
        <w:rPr>
          <w:rFonts w:ascii="Times New Roman" w:hAnsi="Times New Roman" w:eastAsia="宋体" w:cs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2"/>
      <w:bookmarkStart w:id="7" w:name="OLE_LINK1"/>
      <w:r>
        <w:rPr>
          <w:rFonts w:ascii="Times New Roman" w:hAnsi="Times New Roman" w:eastAsia="宋体" w:cs="Times New Roman"/>
          <w:b w:val="0"/>
          <w:bCs w:val="0"/>
          <w:kern w:val="0"/>
          <w:sz w:val="36"/>
          <w:szCs w:val="36"/>
        </w:rPr>
        <w:t xml:space="preserve"> 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6A765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150653CB">
            <w:pPr>
              <w:pStyle w:val="24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subscript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Issue 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1-2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1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subscript"/>
              </w:rPr>
              <w:t>RRC</w:t>
            </w:r>
          </w:p>
          <w:p w14:paraId="731A7CCA">
            <w:pPr>
              <w:spacing w:after="120"/>
              <w:rPr>
                <w:rFonts w:hint="default" w:ascii="Times New Roman" w:hAnsi="Times New Roman" w:cs="Times New Roman" w:eastAsiaTheme="minorEastAsia"/>
                <w:b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  <w:t>&lt; Agreement &gt;</w:t>
            </w:r>
          </w:p>
          <w:p w14:paraId="33A44CCA">
            <w:pPr>
              <w:pStyle w:val="18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/>
              </w:rPr>
              <w:t>T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subscript"/>
                <w:lang w:val="en-US"/>
              </w:rPr>
              <w:t>RRC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/>
              </w:rPr>
              <w:t xml:space="preserve"> is the RRC procedure delay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5CF2F25F">
            <w:pPr>
              <w:pStyle w:val="18"/>
              <w:overflowPunct/>
              <w:autoSpaceDE/>
              <w:autoSpaceDN/>
              <w:adjustRightInd/>
              <w:spacing w:after="120"/>
              <w:ind w:left="1080" w:firstLine="0" w:firstLineChars="0"/>
              <w:textAlignment w:val="auto"/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</w:pPr>
          </w:p>
          <w:p w14:paraId="608333E7">
            <w:pPr>
              <w:pStyle w:val="24"/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  <w:vertAlign w:val="subscript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Issue 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1-2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vertAlign w:val="subscript"/>
              </w:rPr>
              <w:t>measure</w:t>
            </w:r>
          </w:p>
          <w:p w14:paraId="032DE0D4">
            <w:pPr>
              <w:spacing w:after="120"/>
              <w:rPr>
                <w:rFonts w:hint="default" w:ascii="Times New Roman" w:hAnsi="Times New Roman" w:cs="Times New Roman" w:eastAsiaTheme="minorEastAsia"/>
                <w:b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  <w:t>&lt; Agreement &gt;</w:t>
            </w:r>
          </w:p>
          <w:p w14:paraId="63CD5A0A">
            <w:pPr>
              <w:snapToGrid w:val="0"/>
              <w:spacing w:after="120"/>
              <w:ind w:left="720" w:leftChars="300"/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In C-LTM delay,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  <w:t>T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vertAlign w:val="subscript"/>
                <w:lang w:val="en-US"/>
              </w:rPr>
              <w:t>measure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  <w:t xml:space="preserve"> is measurement time. It is defined from the end of T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vertAlign w:val="subscript"/>
                <w:lang w:val="en-US"/>
              </w:rPr>
              <w:t>Event_DU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  <w:t xml:space="preserve"> until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 UE starts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  <w:t>T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vertAlign w:val="subscript"/>
                <w:lang w:val="en-US"/>
                <w14:textFill>
                  <w14:solidFill>
                    <w14:schemeClr w14:val="tx1"/>
                  </w14:solidFill>
                </w14:textFill>
              </w:rPr>
              <w:t>CLTM-RRC-processing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 to a target cell.</w:t>
            </w:r>
          </w:p>
          <w:p w14:paraId="58042BB1">
            <w:pPr>
              <w:snapToGrid w:val="0"/>
              <w:spacing w:after="120"/>
              <w:ind w:left="720" w:leftChars="30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u w:val="single"/>
                <w:lang w:val="en-US"/>
              </w:rPr>
              <w:t>For SSB based L1-RSRP measurement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  <w:t>:</w:t>
            </w:r>
          </w:p>
          <w:p w14:paraId="4261F076">
            <w:pPr>
              <w:numPr>
                <w:ilvl w:val="0"/>
                <w:numId w:val="5"/>
              </w:numPr>
              <w:snapToGrid w:val="0"/>
              <w:spacing w:after="120"/>
              <w:ind w:left="1120" w:leftChars="300" w:hanging="400" w:hangingChars="200"/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  <w:t>T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vertAlign w:val="subscript"/>
                <w:lang w:val="en-US"/>
              </w:rPr>
              <w:t>measure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  <w:t xml:space="preserve"> is SSB based L1-RSRP measurement period in R18 LTM plus SSB index acquisition time if needed.</w:t>
            </w:r>
          </w:p>
          <w:p w14:paraId="7793AB4E">
            <w:pPr>
              <w:pStyle w:val="18"/>
              <w:numPr>
                <w:ilvl w:val="0"/>
                <w:numId w:val="4"/>
              </w:numPr>
              <w:snapToGrid w:val="0"/>
              <w:spacing w:after="120"/>
              <w:ind w:left="1958" w:leftChars="667" w:hanging="357" w:firstLineChars="0"/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  <w:t>Measurement latency for both serving and candidate cells need to be considered, and follow the definition of measurement delay in the event-triggered L1 reporting delay discussed under the corresponding agenda item.</w:t>
            </w:r>
          </w:p>
          <w:p w14:paraId="771FD4A1">
            <w:pPr>
              <w:snapToGrid w:val="0"/>
              <w:spacing w:after="120"/>
              <w:ind w:left="720" w:leftChars="30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u w:val="single"/>
                <w:lang w:val="en-US"/>
              </w:rPr>
              <w:t>For SSB based L3-RSRP measurement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  <w:t>:</w:t>
            </w:r>
          </w:p>
          <w:p w14:paraId="2EB462BD">
            <w:pPr>
              <w:pStyle w:val="18"/>
              <w:numPr>
                <w:ilvl w:val="0"/>
                <w:numId w:val="5"/>
              </w:numPr>
              <w:snapToGrid w:val="0"/>
              <w:spacing w:after="120"/>
              <w:ind w:left="1120" w:leftChars="300" w:hanging="400" w:hangingChars="200"/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  <w:t>Reuse T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vertAlign w:val="subscript"/>
                <w:lang w:val="en-US"/>
              </w:rPr>
              <w:t>measure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  <w:t xml:space="preserve"> in CHO.</w:t>
            </w:r>
          </w:p>
          <w:p w14:paraId="593CB0D8">
            <w:pPr>
              <w:snapToGrid w:val="0"/>
              <w:spacing w:after="120"/>
              <w:ind w:left="720" w:leftChars="30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u w:val="single"/>
                <w:lang w:val="en-US"/>
              </w:rPr>
              <w:t>For CSI-RS based L1-RSRP measurement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  <w:t>:</w:t>
            </w:r>
          </w:p>
          <w:p w14:paraId="6B394DD1">
            <w:pPr>
              <w:pStyle w:val="18"/>
              <w:numPr>
                <w:ilvl w:val="0"/>
                <w:numId w:val="5"/>
              </w:numPr>
              <w:snapToGrid w:val="0"/>
              <w:spacing w:after="120"/>
              <w:ind w:left="1120" w:leftChars="300" w:hanging="400" w:hangingChars="200"/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zh-CN"/>
              </w:rPr>
              <w:t>For known cell, T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vertAlign w:val="subscript"/>
                <w:lang w:val="zh-CN"/>
              </w:rPr>
              <w:t>measure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zh-CN"/>
              </w:rPr>
              <w:t xml:space="preserve"> shall include the time period used to acquire the SFN information (T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vertAlign w:val="subscript"/>
                <w:lang w:val="zh-CN"/>
              </w:rPr>
              <w:t>CSI-RS_SFN_intra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zh-CN"/>
              </w:rPr>
              <w:t>) and CSI-RS based L1-RSRP measurement period.</w:t>
            </w:r>
          </w:p>
          <w:p w14:paraId="0BF3CC40">
            <w:pPr>
              <w:pStyle w:val="18"/>
              <w:numPr>
                <w:ilvl w:val="0"/>
                <w:numId w:val="4"/>
              </w:numPr>
              <w:snapToGrid w:val="0"/>
              <w:spacing w:after="120"/>
              <w:ind w:left="1958" w:leftChars="667" w:hanging="357" w:firstLineChars="0"/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  <w:t xml:space="preserve">Further discuss the conditions for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zh-CN"/>
              </w:rPr>
              <w:t>T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vertAlign w:val="subscript"/>
                <w:lang w:val="zh-CN"/>
              </w:rPr>
              <w:t>CSI-RS_SFN_intra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zh-CN"/>
              </w:rPr>
              <w:t xml:space="preserve"> = 0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  <w:t>.</w:t>
            </w:r>
          </w:p>
          <w:p w14:paraId="0AB51832">
            <w:pPr>
              <w:pStyle w:val="18"/>
              <w:numPr>
                <w:ilvl w:val="0"/>
                <w:numId w:val="4"/>
              </w:numPr>
              <w:snapToGrid w:val="0"/>
              <w:spacing w:after="120"/>
              <w:ind w:left="1958" w:leftChars="667" w:hanging="357" w:firstLineChars="0"/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  <w:t xml:space="preserve">Further discuss whether to include unknown cell case. If included, add one more component of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zh-CN"/>
              </w:rPr>
              <w:t>T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vertAlign w:val="subscript"/>
                <w:lang w:val="zh-CN"/>
              </w:rPr>
              <w:t>PSS/SSS.</w:t>
            </w:r>
          </w:p>
          <w:p w14:paraId="606DDD33">
            <w:pPr>
              <w:snapToGrid w:val="0"/>
              <w:spacing w:after="120"/>
              <w:ind w:left="720" w:leftChars="30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u w:val="single"/>
                <w:lang w:val="en-US"/>
              </w:rPr>
              <w:t>For CSI-RS based L3-RSRP measurement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  <w:t>:</w:t>
            </w:r>
          </w:p>
          <w:p w14:paraId="2EE7639D">
            <w:pPr>
              <w:numPr>
                <w:ilvl w:val="0"/>
                <w:numId w:val="5"/>
              </w:numPr>
              <w:snapToGrid w:val="0"/>
              <w:spacing w:after="120"/>
              <w:ind w:left="1120" w:leftChars="300" w:hanging="400" w:hangingChars="200"/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  <w:t>RAN4 does not define CLTM requirements for the case where CSI-RS based L3-RSRP measurements are used in the execution condition evaluation.</w:t>
            </w:r>
          </w:p>
          <w:p w14:paraId="51A077DF">
            <w:pPr>
              <w:snapToGrid w:val="0"/>
              <w:spacing w:after="120"/>
              <w:ind w:left="1140"/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</w:pPr>
          </w:p>
          <w:p w14:paraId="7174859B">
            <w:pPr>
              <w:pStyle w:val="24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subscript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Issue 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1-2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3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val="sv-SE"/>
              </w:rPr>
              <w:t>T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vertAlign w:val="subscript"/>
                <w:lang w:val="sv-SE"/>
              </w:rPr>
              <w:t>LTM-</w:t>
            </w: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  <w:vertAlign w:val="subscript"/>
                <w:lang w:val="sv-SE" w:eastAsia="zh-CN"/>
              </w:rPr>
              <w:t>RRC-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vertAlign w:val="subscript"/>
                <w:lang w:val="sv-SE"/>
              </w:rPr>
              <w:t>processing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/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subscript"/>
              </w:rPr>
              <w:t>CLTM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_execution</w:t>
            </w:r>
          </w:p>
          <w:p w14:paraId="2A92AFB7">
            <w:pPr>
              <w:spacing w:after="120"/>
              <w:rPr>
                <w:rFonts w:hint="default" w:ascii="Times New Roman" w:hAnsi="Times New Roman" w:cs="Times New Roman" w:eastAsiaTheme="minorEastAsia"/>
                <w:b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  <w:t>&lt; Agreement &gt;</w:t>
            </w:r>
          </w:p>
          <w:p w14:paraId="3B23FFFB">
            <w:pPr>
              <w:pStyle w:val="18"/>
              <w:numPr>
                <w:ilvl w:val="1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  <w:t>T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vertAlign w:val="subscript"/>
                <w:lang w:val="en-US"/>
              </w:rPr>
              <w:t xml:space="preserve">CLTM-RRC-processing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  <w:t xml:space="preserve">is used in C-LTM delay, discuss the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description of T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vertAlign w:val="subscript"/>
              </w:rPr>
              <w:t xml:space="preserve">CLTM-RRC-processing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in draftCR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  <w:t>directly.</w:t>
            </w:r>
          </w:p>
          <w:p w14:paraId="64231BE3">
            <w:pP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/>
              </w:rPr>
            </w:pPr>
          </w:p>
          <w:p w14:paraId="40BF906E">
            <w:pPr>
              <w:pStyle w:val="24"/>
              <w:rPr>
                <w:rFonts w:hint="default" w:ascii="Times New Roman" w:hAnsi="Times New Roman" w:cs="Times New Roman" w:eastAsiaTheme="minorEastAsia"/>
                <w:bCs/>
                <w:i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Issue 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1-2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4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 xml:space="preserve"> General on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first-RS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and 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RS-proc</w:t>
            </w:r>
          </w:p>
          <w:p w14:paraId="48EAF075">
            <w:pPr>
              <w:spacing w:after="120"/>
              <w:rPr>
                <w:rFonts w:hint="default" w:ascii="Times New Roman" w:hAnsi="Times New Roman" w:cs="Times New Roman" w:eastAsiaTheme="minorEastAsia"/>
                <w:b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  <w:t>&lt; Agreement &gt;</w:t>
            </w:r>
          </w:p>
          <w:p w14:paraId="781791F8">
            <w:pPr>
              <w:pStyle w:val="18"/>
              <w:numPr>
                <w:ilvl w:val="1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[T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vertAlign w:val="subscript"/>
              </w:rPr>
              <w:t>first-RS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 and T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vertAlign w:val="subscript"/>
              </w:rPr>
              <w:t>RS-proc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]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are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included in T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vertAlign w:val="subscript"/>
              </w:rPr>
              <w:t>interrupt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566F02C9">
            <w:pP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/>
              </w:rPr>
            </w:pPr>
          </w:p>
          <w:p w14:paraId="5D55F04D">
            <w:pPr>
              <w:pStyle w:val="24"/>
              <w:rPr>
                <w:rFonts w:hint="default" w:ascii="Times New Roman" w:hAnsi="Times New Roman" w:cs="Times New Roman" w:eastAsiaTheme="minorEastAsia"/>
                <w:bCs/>
                <w:i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Issue 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1-2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5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The values and the conditions for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first-RS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subscript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= 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and 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RS-proc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subscript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= 0</w:t>
            </w:r>
          </w:p>
          <w:p w14:paraId="17AF8209">
            <w:pPr>
              <w:spacing w:after="120"/>
              <w:rPr>
                <w:rFonts w:hint="default" w:ascii="Times New Roman" w:hAnsi="Times New Roman" w:cs="Times New Roman" w:eastAsiaTheme="minorEastAsia"/>
                <w:b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  <w:t>&lt; Agreement &gt;</w:t>
            </w:r>
            <w:r>
              <w:rPr>
                <w:rFonts w:hint="default" w:ascii="Times New Roman" w:hAnsi="Times New Roman" w:cs="Times New Roman" w:eastAsiaTheme="minorEastAsia"/>
                <w:bCs/>
                <w:i/>
                <w:iCs/>
                <w:color w:val="5B9BD5" w:themeColor="accent1"/>
                <w:sz w:val="20"/>
                <w:szCs w:val="20"/>
                <w:lang w:val="en-US"/>
                <w14:textFill>
                  <w14:solidFill>
                    <w14:schemeClr w14:val="accent1"/>
                  </w14:solidFill>
                </w14:textFill>
              </w:rPr>
              <w:t xml:space="preserve"> ad hoc</w:t>
            </w:r>
          </w:p>
          <w:p w14:paraId="431C4147">
            <w:pPr>
              <w:pStyle w:val="18"/>
              <w:numPr>
                <w:ilvl w:val="1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vertAlign w:val="subscript"/>
              </w:rPr>
              <w:t>first-RS</w:t>
            </w: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</w:rPr>
              <w:t xml:space="preserve"> = 0 and T</w:t>
            </w: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vertAlign w:val="subscript"/>
              </w:rPr>
              <w:t>RS-proc</w:t>
            </w: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</w:rPr>
              <w:t xml:space="preserve"> = 0 if the target TCI state is on the serving cell or LTM candidate cell active TCI state list or is associated with a TCI state on the active TCI state list.</w:t>
            </w:r>
          </w:p>
          <w:p w14:paraId="2709DAD1">
            <w:pPr>
              <w:pStyle w:val="18"/>
              <w:numPr>
                <w:ilvl w:val="0"/>
                <w:numId w:val="4"/>
              </w:numPr>
              <w:snapToGrid w:val="0"/>
              <w:spacing w:after="120"/>
              <w:ind w:left="1797" w:hanging="357" w:firstLineChars="0"/>
              <w:rPr>
                <w:rFonts w:hint="default" w:ascii="Times New Roman" w:hAnsi="Times New Roman" w:cs="Times New Roman" w:eastAsiaTheme="minorEastAsia"/>
                <w:b/>
                <w:color w:val="000000" w:themeColor="text1"/>
                <w:sz w:val="20"/>
                <w:szCs w:val="20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Note: the limitation of 160/480 ms from Rel-18 still applies.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  <w:t xml:space="preserve"> </w:t>
            </w:r>
          </w:p>
          <w:p w14:paraId="3C5486E3">
            <w:pPr>
              <w:pStyle w:val="18"/>
              <w:snapToGrid w:val="0"/>
              <w:spacing w:after="120"/>
              <w:ind w:left="1797" w:firstLine="0" w:firstLineChars="0"/>
              <w:rPr>
                <w:rFonts w:hint="default" w:ascii="Times New Roman" w:hAnsi="Times New Roman" w:cs="Times New Roman" w:eastAsiaTheme="minorEastAsia"/>
                <w:b/>
                <w:color w:val="000000" w:themeColor="text1"/>
                <w:sz w:val="20"/>
                <w:szCs w:val="20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 w14:paraId="103166A7">
            <w:pPr>
              <w:pStyle w:val="24"/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Issue 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1-2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6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val="sv-SE"/>
              </w:rPr>
              <w:t>T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vertAlign w:val="subscript"/>
                <w:lang w:val="sv-SE"/>
              </w:rPr>
              <w:t>LTM-processing</w:t>
            </w:r>
          </w:p>
          <w:p w14:paraId="7F498B70">
            <w:pPr>
              <w:spacing w:after="120"/>
              <w:rPr>
                <w:rFonts w:hint="default" w:ascii="Times New Roman" w:hAnsi="Times New Roman" w:cs="Times New Roman" w:eastAsiaTheme="minorEastAsia"/>
                <w:b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  <w:t>&lt; Agreement &gt;</w:t>
            </w:r>
          </w:p>
          <w:p w14:paraId="2DC4ACE9">
            <w:pPr>
              <w:pStyle w:val="18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/>
              </w:rPr>
              <w:t>T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subscript"/>
                <w:lang w:val="en-US"/>
              </w:rPr>
              <w:t>LTM-processing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/>
              </w:rPr>
              <w:t xml:space="preserve"> is the time for UE processing, consisting of applying the target cell parameters and L1/L2 change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6D2A1FBD">
            <w:pPr>
              <w:pStyle w:val="18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/>
              </w:rPr>
              <w:t>Reuse Rel-18 LTM values for T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subscript"/>
                <w:lang w:val="en-US"/>
              </w:rPr>
              <w:t>LTM-processing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/>
              </w:rPr>
              <w:t xml:space="preserve"> in the CLTM cell switch delay.</w:t>
            </w:r>
          </w:p>
          <w:p w14:paraId="725CC753">
            <w:pPr>
              <w:pStyle w:val="18"/>
              <w:overflowPunct/>
              <w:autoSpaceDE/>
              <w:autoSpaceDN/>
              <w:adjustRightInd/>
              <w:spacing w:after="120"/>
              <w:ind w:left="1800"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 w14:paraId="4ADAE8CD">
            <w:pPr>
              <w:pStyle w:val="24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vertAlign w:val="subscript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Issue 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1-2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7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vertAlign w:val="subscript"/>
              </w:rPr>
              <w:t>LTM-IU</w:t>
            </w:r>
          </w:p>
          <w:p w14:paraId="0F394FF3">
            <w:pPr>
              <w:spacing w:after="120"/>
              <w:rPr>
                <w:rFonts w:hint="default" w:ascii="Times New Roman" w:hAnsi="Times New Roman" w:cs="Times New Roman" w:eastAsiaTheme="minorEastAsia"/>
                <w:b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  <w:t>&lt; Agreement &gt;</w:t>
            </w:r>
          </w:p>
          <w:p w14:paraId="0BB64EDC">
            <w:pPr>
              <w:numPr>
                <w:ilvl w:val="0"/>
                <w:numId w:val="5"/>
              </w:numPr>
              <w:spacing w:after="120"/>
              <w:ind w:left="1077" w:hanging="357"/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/>
              </w:rPr>
              <w:t>T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subscript"/>
                <w:lang w:val="en-US"/>
              </w:rPr>
              <w:t xml:space="preserve">LTM-IU 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/>
              </w:rPr>
              <w:t>is the interruption uncertainty during LTM cell switch.</w:t>
            </w:r>
          </w:p>
          <w:p w14:paraId="6BFC00CC">
            <w:pPr>
              <w:numPr>
                <w:ilvl w:val="2"/>
                <w:numId w:val="5"/>
              </w:numPr>
              <w:spacing w:after="120"/>
              <w:ind w:left="1797" w:hanging="357"/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  <w:t>For</w:t>
            </w: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  <w:t>RACH-based LTM cell switch, T</w:t>
            </w: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  <w:vertAlign w:val="subscript"/>
              </w:rPr>
              <w:t>LTM-IU</w:t>
            </w: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  <w:t xml:space="preserve"> is the interruption uncertainty in acquiring the first available PRACH occasion in the new cell.</w:t>
            </w:r>
          </w:p>
          <w:p w14:paraId="074D1883">
            <w:pPr>
              <w:numPr>
                <w:ilvl w:val="2"/>
                <w:numId w:val="5"/>
              </w:numPr>
              <w:spacing w:after="120"/>
              <w:ind w:left="1797" w:hanging="357"/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  <w:t>For</w:t>
            </w: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  <w:t>RACH-less LTM cell switch, T</w:t>
            </w: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  <w:vertAlign w:val="subscript"/>
              </w:rPr>
              <w:t>LTM-IU_</w:t>
            </w: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  <w:t>is the uncertainty on transmitting the first uplink transmission on the target cell</w:t>
            </w: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  <w:lang w:val="en-US"/>
              </w:rPr>
              <w:t>.</w:t>
            </w:r>
          </w:p>
          <w:p w14:paraId="17CE6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1251AA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/>
        <w:textAlignment w:val="auto"/>
        <w:rPr>
          <w:rFonts w:hint="default" w:ascii="Times New Roman" w:hAnsi="Times New Roman"/>
          <w:sz w:val="22"/>
          <w:highlight w:val="none"/>
          <w:lang w:val="en-US" w:eastAsia="zh-CN"/>
        </w:rPr>
      </w:pPr>
    </w:p>
    <w:p w14:paraId="7396E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In last meeting, there is good progress on </w:t>
      </w:r>
      <w:r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conditional intra-CU LTM. 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Most of the open issues are resolved, o</w:t>
      </w:r>
      <w:r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  <w:t>ne remaining issue is whether</w:t>
      </w:r>
      <w:r>
        <w:rPr>
          <w:rFonts w:hint="default" w:ascii="Times New Roman" w:hAnsi="Times New Roman" w:eastAsia="宋体" w:cs="Times New Roman"/>
          <w:sz w:val="20"/>
          <w:szCs w:val="20"/>
        </w:rPr>
        <w:t>[T</w:t>
      </w:r>
      <w:r>
        <w:rPr>
          <w:rFonts w:hint="default" w:ascii="Times New Roman" w:hAnsi="Times New Roman" w:eastAsia="宋体" w:cs="Times New Roman"/>
          <w:sz w:val="20"/>
          <w:szCs w:val="20"/>
          <w:vertAlign w:val="subscript"/>
        </w:rPr>
        <w:t>first-RS</w:t>
      </w:r>
      <w:r>
        <w:rPr>
          <w:rFonts w:hint="default" w:ascii="Times New Roman" w:hAnsi="Times New Roman" w:eastAsia="宋体" w:cs="Times New Roman"/>
          <w:sz w:val="20"/>
          <w:szCs w:val="20"/>
        </w:rPr>
        <w:t xml:space="preserve"> and T</w:t>
      </w:r>
      <w:r>
        <w:rPr>
          <w:rFonts w:hint="default" w:ascii="Times New Roman" w:hAnsi="Times New Roman" w:eastAsia="宋体" w:cs="Times New Roman"/>
          <w:sz w:val="20"/>
          <w:szCs w:val="20"/>
          <w:vertAlign w:val="subscript"/>
        </w:rPr>
        <w:t>RS-proc</w:t>
      </w:r>
      <w:r>
        <w:rPr>
          <w:rFonts w:hint="default" w:ascii="Times New Roman" w:hAnsi="Times New Roman" w:eastAsia="宋体" w:cs="Times New Roman"/>
          <w:sz w:val="20"/>
          <w:szCs w:val="20"/>
        </w:rPr>
        <w:t>]</w:t>
      </w:r>
      <w:r>
        <w:rPr>
          <w:rFonts w:hint="default" w:ascii="Times New Roman" w:hAnsi="Times New Roman" w:eastAsia="宋体" w:cs="Times New Roman"/>
          <w:sz w:val="20"/>
          <w:szCs w:val="20"/>
          <w:vertAlign w:val="subscript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</w:rPr>
        <w:t>are</w:t>
      </w:r>
      <w:r>
        <w:rPr>
          <w:rFonts w:hint="default" w:ascii="Times New Roman" w:hAnsi="Times New Roman" w:eastAsia="宋体" w:cs="Times New Roman"/>
          <w:sz w:val="20"/>
          <w:szCs w:val="20"/>
          <w:vertAlign w:val="subscript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</w:rPr>
        <w:t>included in T</w:t>
      </w:r>
      <w:r>
        <w:rPr>
          <w:rFonts w:hint="default" w:ascii="Times New Roman" w:hAnsi="Times New Roman" w:eastAsia="宋体" w:cs="Times New Roman"/>
          <w:sz w:val="20"/>
          <w:szCs w:val="20"/>
          <w:vertAlign w:val="subscript"/>
        </w:rPr>
        <w:t>interrupt</w:t>
      </w:r>
      <w:r>
        <w:rPr>
          <w:rFonts w:hint="default" w:ascii="Times New Roman" w:hAnsi="Times New Roman" w:eastAsia="宋体" w:cs="Times New Roman"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 </w:t>
      </w:r>
    </w:p>
    <w:p w14:paraId="7494C6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/>
        <w:textAlignment w:val="auto"/>
        <w:rPr>
          <w:rFonts w:hint="eastAsia" w:ascii="Times New Roman" w:hAnsi="Times New Roman" w:cs="Times New Roman"/>
          <w:b w:val="0"/>
          <w:bCs w:val="0"/>
          <w:i w:val="0"/>
          <w:iCs w:val="0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z w:val="20"/>
          <w:szCs w:val="20"/>
        </w:rPr>
        <w:t>T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vertAlign w:val="subscript"/>
        </w:rPr>
        <w:t>first-RS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z w:val="20"/>
          <w:szCs w:val="20"/>
        </w:rPr>
        <w:t xml:space="preserve"> is the time for fine time tracking and acquiring full timing information of the target cell.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>T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vertAlign w:val="subscript"/>
          <w:lang w:val="en-US" w:eastAsia="zh-CN"/>
        </w:rPr>
        <w:t>RS-proc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 is the time for SSB processing.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 In Rel-18 LTM, both are included in T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0"/>
          <w:szCs w:val="20"/>
          <w:vertAlign w:val="subscript"/>
          <w:lang w:val="en-US" w:eastAsia="zh-CN"/>
        </w:rPr>
        <w:t>interrupt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>. As for Rel-19 CLTM, some companies propose not to be included. On one hand, we understand the motivation to minimize the interruption since network does not know when the condition is met for C-LTM. On the other hand, it is up to UE implementation whether these procedure or part of procedures (e.g. waiting time of T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0"/>
          <w:szCs w:val="20"/>
          <w:vertAlign w:val="subscript"/>
          <w:lang w:val="en-US" w:eastAsia="zh-CN"/>
        </w:rPr>
        <w:t>first-RS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 is not included in T_interrupt and RS tracking time of T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0"/>
          <w:szCs w:val="20"/>
          <w:vertAlign w:val="subscript"/>
          <w:lang w:val="en-US" w:eastAsia="zh-CN"/>
        </w:rPr>
        <w:t>first-RS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 is included in T_interrupt) will cause interruption. </w:t>
      </w:r>
    </w:p>
    <w:p w14:paraId="0F07D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/>
        <w:textAlignment w:val="auto"/>
        <w:rPr>
          <w:rFonts w:hint="default" w:ascii="Times New Roman" w:hAnsi="Times New Roman" w:eastAsia="宋体"/>
          <w:b w:val="0"/>
          <w:bCs w:val="0"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According to Rel-18 LTM, the value of </w:t>
      </w:r>
      <w:r>
        <w:rPr>
          <w:rFonts w:hint="default" w:ascii="Times New Roman" w:hAnsi="Times New Roman" w:cs="Times New Roman" w:eastAsiaTheme="minorEastAsia"/>
          <w:bCs/>
          <w:sz w:val="20"/>
          <w:szCs w:val="20"/>
        </w:rPr>
        <w:t>T</w:t>
      </w:r>
      <w:r>
        <w:rPr>
          <w:rFonts w:hint="default" w:ascii="Times New Roman" w:hAnsi="Times New Roman" w:cs="Times New Roman" w:eastAsiaTheme="minorEastAsia"/>
          <w:bCs/>
          <w:sz w:val="20"/>
          <w:szCs w:val="20"/>
          <w:vertAlign w:val="subscript"/>
        </w:rPr>
        <w:t>first-RS</w:t>
      </w:r>
      <w:r>
        <w:rPr>
          <w:rFonts w:hint="default" w:ascii="Times New Roman" w:hAnsi="Times New Roman" w:cs="Times New Roman" w:eastAsiaTheme="minorEastAsia"/>
          <w:sz w:val="20"/>
          <w:szCs w:val="20"/>
        </w:rPr>
        <w:t xml:space="preserve"> and T</w:t>
      </w:r>
      <w:r>
        <w:rPr>
          <w:rFonts w:hint="default" w:ascii="Times New Roman" w:hAnsi="Times New Roman" w:cs="Times New Roman" w:eastAsiaTheme="minorEastAsia"/>
          <w:sz w:val="20"/>
          <w:szCs w:val="20"/>
          <w:vertAlign w:val="subscript"/>
        </w:rPr>
        <w:t>RS-proc</w:t>
      </w:r>
      <w:r>
        <w:rPr>
          <w:rFonts w:hint="default" w:ascii="Times New Roman" w:hAnsi="Times New Roman" w:cs="Times New Roman" w:eastAsiaTheme="minorEastAsia"/>
          <w:sz w:val="20"/>
          <w:szCs w:val="20"/>
        </w:rPr>
        <w:t xml:space="preserve"> </w:t>
      </w:r>
      <w:r>
        <w:rPr>
          <w:rFonts w:hint="eastAsia" w:ascii="Times New Roman" w:hAnsi="Times New Roman" w:cs="Times New Roman" w:eastAsiaTheme="minorEastAsia"/>
          <w:sz w:val="20"/>
          <w:szCs w:val="20"/>
          <w:lang w:val="en-US" w:eastAsia="zh-CN"/>
        </w:rPr>
        <w:t xml:space="preserve">can be zero under certain conditions, which are duplicated as following. In our view, we can follow similar way as that for Rel-18 LTM,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z w:val="20"/>
          <w:szCs w:val="20"/>
        </w:rPr>
        <w:t>T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vertAlign w:val="subscript"/>
        </w:rPr>
        <w:t>first-RS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z w:val="20"/>
          <w:szCs w:val="20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>and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>T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vertAlign w:val="subscript"/>
          <w:lang w:val="en-US" w:eastAsia="zh-CN"/>
        </w:rPr>
        <w:t>RS-proc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>are included in T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0"/>
          <w:szCs w:val="20"/>
          <w:vertAlign w:val="subscript"/>
          <w:lang w:val="en-US" w:eastAsia="zh-CN"/>
        </w:rPr>
        <w:t xml:space="preserve">interrupt, 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0"/>
          <w:szCs w:val="20"/>
          <w:vertAlign w:val="baseline"/>
          <w:lang w:val="en-US" w:eastAsia="zh-CN"/>
        </w:rPr>
        <w:t xml:space="preserve">and the value is zero under certain conditions. 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353B2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37F6E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TS 38.133, 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sz w:val="20"/>
                <w:szCs w:val="20"/>
                <w:lang w:eastAsia="zh-CN"/>
              </w:rPr>
              <w:t>Interruption time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sz w:val="20"/>
                <w:szCs w:val="20"/>
                <w:lang w:val="en-US" w:eastAsia="zh-CN"/>
              </w:rPr>
              <w:t xml:space="preserve"> for LTM (6.3.1.3)</w:t>
            </w:r>
          </w:p>
          <w:p w14:paraId="3CB30C00">
            <w:pPr>
              <w:ind w:left="851" w:hanging="284"/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  <w:vertAlign w:val="subscript"/>
              </w:rPr>
              <w:t>first-RS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 xml:space="preserve"> = 0 and T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subscript"/>
              </w:rPr>
              <w:t>RS-proc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= 0 under the following conditions:</w:t>
            </w:r>
          </w:p>
          <w:p w14:paraId="3BE03384">
            <w:pPr>
              <w:ind w:left="1135" w:hanging="284"/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The target TCI state indicated in the LTM cell switch command is in the serving cell active TCI state list, or</w:t>
            </w:r>
          </w:p>
          <w:p w14:paraId="23252ECA">
            <w:pPr>
              <w:ind w:left="1135" w:hanging="284"/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The UE is configured with LTM L1 intra- and/or inter-frequency measurements for the target cell, and</w:t>
            </w:r>
          </w:p>
          <w:p w14:paraId="6480BB12">
            <w:pPr>
              <w:ind w:left="1419" w:hanging="284"/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 xml:space="preserve">The target TCI state in the cell switch command is in the LTM candidate cell active TCI state list, and </w:t>
            </w:r>
          </w:p>
          <w:p w14:paraId="4EA27EB2">
            <w:pPr>
              <w:pStyle w:val="25"/>
              <w:ind w:leftChars="600"/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the time between receiving the LTM candidate cell TCI state activation MAC-CE and the cell switch command is at least TCI state activation delay stated in section 8.25.3 and</w:t>
            </w:r>
          </w:p>
          <w:p w14:paraId="38EFAFC9">
            <w:pPr>
              <w:pStyle w:val="25"/>
              <w:ind w:leftChars="600"/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the time between receiving the LTM candidate cell TCI state activation MAC-CE and the cell switch command is not more than TCI state activation delay stated in section 8.25.3 + 160 ms, or</w:t>
            </w:r>
          </w:p>
          <w:p w14:paraId="5E3796F2">
            <w:pPr>
              <w:pStyle w:val="25"/>
              <w:ind w:leftChars="600"/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the measurement period of the SSB associated to target TCI state is not larger than 160 ms after the LTM candidate cell TCI state activation MAC-CE is received, or</w:t>
            </w:r>
          </w:p>
          <w:p w14:paraId="15A6B575">
            <w:pPr>
              <w:ind w:left="1135" w:hanging="284"/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 xml:space="preserve">The target cell is an FR1 cell, and the UE is not configured with LTM L1 intra- and/or inter-frequency measurements for the target cell, and </w:t>
            </w:r>
          </w:p>
          <w:p w14:paraId="378C006D">
            <w:pPr>
              <w:ind w:left="1419" w:hanging="284"/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 xml:space="preserve">The target TCI state in the cell switch command is in the LTM candidate cell active TCI state list, and </w:t>
            </w:r>
          </w:p>
          <w:p w14:paraId="10F934E9">
            <w:pPr>
              <w:pStyle w:val="25"/>
              <w:ind w:leftChars="600"/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the time between receiving the LTM candidate cell TCI state activation MAC-CE and the cell switch command is at least TCI state activation delay stated in section 8. 25.3, and not more than TCI state activation delay stated in section 8. 25.3 + [480 ms], or</w:t>
            </w:r>
          </w:p>
          <w:p w14:paraId="7FC6E11A">
            <w:pPr>
              <w:pStyle w:val="25"/>
              <w:ind w:leftChars="600"/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[NOTE: longer L3 measurement delay may be expected for 480 ms after TCI state activation delay stated in section 8.25.3.]</w:t>
            </w:r>
          </w:p>
          <w:p w14:paraId="47B78312">
            <w:pPr>
              <w:ind w:left="1420" w:hanging="284"/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 xml:space="preserve">The time between the latest PDCCH ordered RACH preamble transmission on the target cell and the cell switch command is not more than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[160 ms].</w:t>
            </w:r>
          </w:p>
          <w:p w14:paraId="662C33DC">
            <w:pPr>
              <w:ind w:left="568"/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 xml:space="preserve">Otherwise, </w:t>
            </w:r>
          </w:p>
          <w:p w14:paraId="48CE7575">
            <w:pPr>
              <w:ind w:left="852"/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</w:pPr>
            <w:r>
              <w:rPr>
                <w:rFonts w:hint="default" w:ascii="Times New Roman" w:hAnsi="Times New Roman" w:eastAsia="Malgun Gothic" w:cs="Times New Roman"/>
                <w:bCs/>
                <w:sz w:val="20"/>
                <w:szCs w:val="20"/>
                <w:lang w:eastAsia="en-GB"/>
              </w:rPr>
              <w:t>T</w:t>
            </w:r>
            <w:r>
              <w:rPr>
                <w:rFonts w:hint="default" w:ascii="Times New Roman" w:hAnsi="Times New Roman" w:eastAsia="Malgun Gothic" w:cs="Times New Roman"/>
                <w:bCs/>
                <w:sz w:val="20"/>
                <w:szCs w:val="20"/>
                <w:vertAlign w:val="subscript"/>
                <w:lang w:eastAsia="en-GB"/>
              </w:rPr>
              <w:t>first-RS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en-GB"/>
              </w:rPr>
              <w:t xml:space="preserve"> is the time to the first SSB transmission on the target cell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zh-CN"/>
              </w:rPr>
              <w:t xml:space="preserve">after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en-GB"/>
              </w:rPr>
              <w:t>T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vertAlign w:val="subscript"/>
                <w:lang w:eastAsia="en-GB"/>
              </w:rPr>
              <w:t>cmd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en-GB"/>
              </w:rPr>
              <w:t xml:space="preserve"> + T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vertAlign w:val="subscript"/>
                <w:lang w:eastAsia="en-GB"/>
              </w:rPr>
              <w:t>LTM-RRC-processing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en-GB"/>
              </w:rPr>
              <w:t xml:space="preserve"> + T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vertAlign w:val="subscript"/>
                <w:lang w:eastAsia="en-GB"/>
              </w:rPr>
              <w:t>LTM-processing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en-GB"/>
              </w:rPr>
              <w:t>.</w:t>
            </w:r>
          </w:p>
          <w:p w14:paraId="40D08D8C">
            <w:pPr>
              <w:ind w:left="852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subscript"/>
              </w:rPr>
              <w:t>RS-proc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 xml:space="preserve"> = 2 ms.</w:t>
            </w:r>
          </w:p>
        </w:tc>
      </w:tr>
    </w:tbl>
    <w:p w14:paraId="08F8D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</w:p>
    <w:p w14:paraId="72F58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0"/>
          <w:szCs w:val="20"/>
          <w:vertAlign w:val="baseline"/>
          <w:lang w:val="en-US" w:eastAsia="zh-CN"/>
        </w:rPr>
        <w:t xml:space="preserve">In last meeting, it was agreed that </w:t>
      </w: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z w:val="20"/>
          <w:szCs w:val="20"/>
        </w:rPr>
        <w:t>T</w:t>
      </w: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z w:val="20"/>
          <w:szCs w:val="20"/>
          <w:vertAlign w:val="subscript"/>
        </w:rPr>
        <w:t>first-RS</w:t>
      </w: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z w:val="20"/>
          <w:szCs w:val="20"/>
        </w:rPr>
        <w:t xml:space="preserve"> </w:t>
      </w: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z w:val="20"/>
          <w:szCs w:val="20"/>
          <w:lang w:val="en-US" w:eastAsia="zh-CN"/>
        </w:rPr>
        <w:t>=0 and</w:t>
      </w: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z w:val="20"/>
          <w:szCs w:val="20"/>
        </w:rPr>
        <w:t xml:space="preserve"> T</w:t>
      </w: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z w:val="20"/>
          <w:szCs w:val="20"/>
          <w:vertAlign w:val="subscript"/>
        </w:rPr>
        <w:t>RS-proc</w:t>
      </w: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z w:val="20"/>
          <w:szCs w:val="20"/>
        </w:rPr>
        <w:t xml:space="preserve"> </w:t>
      </w: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= 0 if the target TCI state is on the serving cell or LTM candidate cell active TCI state list or is associated with a TCI state on the active TCI state list. Based on above consideration, it is proposed that </w:t>
      </w:r>
      <w:r>
        <w:rPr>
          <w:rFonts w:hint="eastAsia" w:ascii="Times New Roman" w:hAnsi="Times New Roman"/>
          <w:b w:val="0"/>
          <w:bCs w:val="0"/>
          <w:i w:val="0"/>
          <w:iCs w:val="0"/>
          <w:sz w:val="20"/>
          <w:szCs w:val="20"/>
          <w:lang w:val="en-US" w:eastAsia="zh-CN"/>
        </w:rPr>
        <w:t>T</w:t>
      </w:r>
      <w:r>
        <w:rPr>
          <w:rFonts w:hint="eastAsia" w:ascii="Times New Roman" w:hAnsi="Times New Roman"/>
          <w:b w:val="0"/>
          <w:bCs w:val="0"/>
          <w:i w:val="0"/>
          <w:iCs w:val="0"/>
          <w:sz w:val="20"/>
          <w:szCs w:val="20"/>
          <w:vertAlign w:val="subscript"/>
          <w:lang w:val="en-US" w:eastAsia="zh-CN"/>
        </w:rPr>
        <w:t>first-RS</w:t>
      </w:r>
      <w:r>
        <w:rPr>
          <w:rFonts w:hint="eastAsia" w:ascii="Times New Roman" w:hAnsi="Times New Roman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 and T</w:t>
      </w:r>
      <w:r>
        <w:rPr>
          <w:rFonts w:hint="eastAsia" w:ascii="Times New Roman" w:hAnsi="Times New Roman"/>
          <w:b w:val="0"/>
          <w:bCs w:val="0"/>
          <w:i w:val="0"/>
          <w:iCs w:val="0"/>
          <w:sz w:val="20"/>
          <w:szCs w:val="20"/>
          <w:vertAlign w:val="subscript"/>
          <w:lang w:val="en-US" w:eastAsia="zh-CN"/>
        </w:rPr>
        <w:t>RS-proc</w:t>
      </w:r>
      <w:r>
        <w:rPr>
          <w:rFonts w:hint="eastAsia" w:ascii="Times New Roman" w:hAnsi="Times New Roman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 are included in T</w:t>
      </w:r>
      <w:r>
        <w:rPr>
          <w:rFonts w:hint="eastAsia" w:ascii="Times New Roman" w:hAnsi="Times New Roman"/>
          <w:b w:val="0"/>
          <w:bCs w:val="0"/>
          <w:i w:val="0"/>
          <w:iCs w:val="0"/>
          <w:sz w:val="20"/>
          <w:szCs w:val="20"/>
          <w:vertAlign w:val="subscript"/>
          <w:lang w:val="en-US" w:eastAsia="zh-CN"/>
        </w:rPr>
        <w:t>interrupt</w:t>
      </w:r>
      <w:r>
        <w:rPr>
          <w:rFonts w:hint="eastAsia" w:ascii="Times New Roman" w:hAnsi="Times New Roman"/>
          <w:b w:val="0"/>
          <w:bCs w:val="0"/>
          <w:i w:val="0"/>
          <w:iCs w:val="0"/>
          <w:sz w:val="20"/>
          <w:szCs w:val="20"/>
          <w:lang w:val="en-US" w:eastAsia="zh-CN"/>
        </w:rPr>
        <w:t>.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    </w:t>
      </w:r>
    </w:p>
    <w:p w14:paraId="3BA42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/>
        <w:textAlignment w:val="auto"/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Proposal 1: it is proposed that both T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vertAlign w:val="subscript"/>
          <w:lang w:val="en-US" w:eastAsia="zh-CN"/>
        </w:rPr>
        <w:t>first-RS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 and T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vertAlign w:val="subscript"/>
          <w:lang w:val="en-US" w:eastAsia="zh-CN"/>
        </w:rPr>
        <w:t>RS-proc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 are included in T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vertAlign w:val="subscript"/>
          <w:lang w:val="en-US" w:eastAsia="zh-CN"/>
        </w:rPr>
        <w:t>interrupt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.</w:t>
      </w:r>
    </w:p>
    <w:p w14:paraId="43650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</w:p>
    <w:bookmarkEnd w:id="6"/>
    <w:bookmarkEnd w:id="7"/>
    <w:p w14:paraId="30E8C428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749BCDD1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GB"/>
        </w:rPr>
        <w:t>T</w:t>
      </w:r>
      <w:r>
        <w:rPr>
          <w:rFonts w:ascii="Times New Roman" w:hAnsi="Times New Roman"/>
          <w:sz w:val="20"/>
          <w:szCs w:val="20"/>
          <w:highlight w:val="none"/>
        </w:rPr>
        <w:t>his contribution</w:t>
      </w:r>
      <w:r>
        <w:rPr>
          <w:rFonts w:hint="eastAsia" w:ascii="Times New Roman" w:hAnsi="Times New Roman"/>
          <w:sz w:val="20"/>
          <w:szCs w:val="20"/>
          <w:highlight w:val="none"/>
        </w:rPr>
        <w:t xml:space="preserve"> provides discussion on</w:t>
      </w:r>
      <w:r>
        <w:rPr>
          <w:rFonts w:ascii="Times New Roman" w:hAnsi="Times New Roman"/>
          <w:sz w:val="20"/>
          <w:szCs w:val="20"/>
          <w:highlight w:val="none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conditional LTM</w:t>
      </w:r>
      <w:r>
        <w:rPr>
          <w:rFonts w:hint="eastAsia" w:ascii="Times New Roman" w:hAnsi="Times New Roman"/>
          <w:sz w:val="20"/>
          <w:szCs w:val="20"/>
          <w:highlight w:val="none"/>
        </w:rPr>
        <w:t>. The proposals are:</w:t>
      </w:r>
    </w:p>
    <w:p w14:paraId="50168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/>
        <w:textAlignment w:val="auto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Proposal 1: it is proposed that both T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vertAlign w:val="subscript"/>
          <w:lang w:val="en-US" w:eastAsia="zh-CN"/>
        </w:rPr>
        <w:t>first-RS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 and T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vertAlign w:val="subscript"/>
          <w:lang w:val="en-US" w:eastAsia="zh-CN"/>
        </w:rPr>
        <w:t>RS-proc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 are included in T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vertAlign w:val="subscript"/>
          <w:lang w:val="en-US" w:eastAsia="zh-CN"/>
        </w:rPr>
        <w:t>interrupt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.</w:t>
      </w:r>
      <w:bookmarkStart w:id="8" w:name="_GoBack"/>
      <w:bookmarkEnd w:id="8"/>
    </w:p>
    <w:p w14:paraId="2449F5DD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2B6D43A7">
      <w:pPr>
        <w:pStyle w:val="2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34036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New WID: NR mobility enhancements Phase 4</w:t>
      </w:r>
    </w:p>
    <w:p w14:paraId="2ED7779D">
      <w:pPr>
        <w:pStyle w:val="2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</w:t>
      </w:r>
      <w:r>
        <w:rPr>
          <w:rFonts w:hint="eastAsia" w:ascii="Times" w:hAnsi="Times" w:eastAsia="宋体"/>
          <w:b w:val="0"/>
          <w:sz w:val="20"/>
          <w:lang w:val="en-US" w:eastAsia="zh-CN"/>
        </w:rPr>
        <w:t>P</w:t>
      </w:r>
      <w:r>
        <w:rPr>
          <w:rFonts w:hint="eastAsia" w:ascii="Times" w:hAnsi="Times" w:eastAsia="宋体"/>
          <w:b w:val="0"/>
          <w:sz w:val="20"/>
          <w:lang w:eastAsia="zh-CN"/>
        </w:rPr>
        <w:t>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50339, </w:t>
      </w:r>
      <w:r>
        <w:rPr>
          <w:rFonts w:hint="eastAsia" w:ascii="Times" w:hAnsi="Times" w:eastAsia="宋体"/>
          <w:b w:val="0"/>
          <w:sz w:val="20"/>
          <w:lang w:eastAsia="zh-CN"/>
        </w:rPr>
        <w:t>Revised Work Item: NR mobility enhancements Phase 4</w:t>
      </w:r>
    </w:p>
    <w:p w14:paraId="0502D063">
      <w:pPr>
        <w:pStyle w:val="2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R4-2508283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RRM requirements for NR_Mob_Ph4_Part2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China Telecom</w:t>
      </w:r>
    </w:p>
    <w:p w14:paraId="58492B68">
      <w:pPr>
        <w:pStyle w:val="2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R4-2504910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RRM requirements for NR_Mob_Ph4_Part2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China Telecom</w:t>
      </w:r>
    </w:p>
    <w:p w14:paraId="4A3EAC52">
      <w:pPr>
        <w:pStyle w:val="2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R4-2502602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RRM requirements for NR_Mob_Ph4_Part2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China Telecom</w:t>
      </w:r>
    </w:p>
    <w:p w14:paraId="2671F62C">
      <w:pPr>
        <w:pStyle w:val="2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R4-2420102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RRM requirements for NR_Mob_Ph4_Part2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China Telecom</w:t>
      </w:r>
    </w:p>
    <w:p w14:paraId="6142B6F0">
      <w:pPr>
        <w:pStyle w:val="2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R4-241686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3, </w:t>
      </w:r>
      <w:r>
        <w:rPr>
          <w:rFonts w:hint="eastAsia" w:ascii="Times" w:hAnsi="Times" w:eastAsia="宋体"/>
          <w:b w:val="0"/>
          <w:sz w:val="20"/>
          <w:lang w:eastAsia="zh-CN"/>
        </w:rPr>
        <w:t>WF on RRM requirements for NR_Mob_Ph4_Part2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China Telecom</w:t>
      </w:r>
    </w:p>
    <w:p w14:paraId="5AE91A4E">
      <w:pPr>
        <w:pStyle w:val="2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R4-2414060, </w:t>
      </w:r>
      <w:r>
        <w:rPr>
          <w:rFonts w:hint="eastAsia" w:ascii="Times" w:hAnsi="Times" w:eastAsia="宋体"/>
          <w:b w:val="0"/>
          <w:sz w:val="20"/>
          <w:lang w:eastAsia="zh-CN"/>
        </w:rPr>
        <w:t>WF on R1</w:t>
      </w:r>
      <w:r>
        <w:rPr>
          <w:rFonts w:hint="eastAsia" w:ascii="Times" w:hAnsi="Times" w:eastAsia="宋体"/>
          <w:b w:val="0"/>
          <w:sz w:val="20"/>
          <w:lang w:val="en-US" w:eastAsia="zh-CN"/>
        </w:rPr>
        <w:t>9</w:t>
      </w:r>
      <w:r>
        <w:rPr>
          <w:rFonts w:hint="eastAsia" w:ascii="Times" w:hAnsi="Times" w:eastAsia="宋体"/>
          <w:b w:val="0"/>
          <w:sz w:val="20"/>
          <w:lang w:eastAsia="zh-CN"/>
        </w:rPr>
        <w:t xml:space="preserve"> Further NR mobility enhancement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Apple</w:t>
      </w:r>
    </w:p>
    <w:p w14:paraId="61407B14">
      <w:pPr>
        <w:pStyle w:val="2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RP-233970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Revised WID on Further NR Mobility Enhancements</w:t>
      </w:r>
    </w:p>
    <w:p w14:paraId="192DE19E">
      <w:pPr>
        <w:pStyle w:val="2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R2-2404102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Report of 3GPP TSG RAN WG2 meeting #125bis</w:t>
      </w:r>
    </w:p>
    <w:p w14:paraId="384586B2">
      <w:pPr>
        <w:pStyle w:val="2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>RP-242356, Revised Work Item: NR mobility enhancements Phase 4</w:t>
      </w:r>
    </w:p>
    <w:p w14:paraId="7F8B71BC">
      <w:pPr>
        <w:pStyle w:val="22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426F6E4F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36624B"/>
    <w:multiLevelType w:val="multilevel"/>
    <w:tmpl w:val="0736624B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1E9EF811"/>
    <w:multiLevelType w:val="singleLevel"/>
    <w:tmpl w:val="1E9EF811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4F995E3D"/>
    <w:multiLevelType w:val="multilevel"/>
    <w:tmpl w:val="4F995E3D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MS Mincho" w:cs="Times New Roman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>
    <w:nsid w:val="75A0536B"/>
    <w:multiLevelType w:val="multilevel"/>
    <w:tmpl w:val="75A0536B"/>
    <w:lvl w:ilvl="0" w:tentative="0">
      <w:start w:val="1"/>
      <w:numFmt w:val="bullet"/>
      <w:lvlText w:val="o"/>
      <w:lvlJc w:val="left"/>
      <w:pPr>
        <w:ind w:left="440" w:hanging="44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-"/>
      <w:lvlJc w:val="left"/>
      <w:pPr>
        <w:ind w:left="1360" w:hanging="440"/>
      </w:pPr>
      <w:rPr>
        <w:rFonts w:hint="default" w:ascii="Times New Roman" w:hAnsi="Times New Roman" w:eastAsia="MS Mincho" w:cs="Times New Roman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B38EA"/>
    <w:rsid w:val="01830099"/>
    <w:rsid w:val="02283016"/>
    <w:rsid w:val="05BF60C0"/>
    <w:rsid w:val="05EF3F4F"/>
    <w:rsid w:val="088D72AE"/>
    <w:rsid w:val="09FD62EE"/>
    <w:rsid w:val="0A542580"/>
    <w:rsid w:val="0E947D89"/>
    <w:rsid w:val="11384436"/>
    <w:rsid w:val="12614986"/>
    <w:rsid w:val="146A49FC"/>
    <w:rsid w:val="14805882"/>
    <w:rsid w:val="15076FAB"/>
    <w:rsid w:val="152E0965"/>
    <w:rsid w:val="156F6AAE"/>
    <w:rsid w:val="18021098"/>
    <w:rsid w:val="1B5003E0"/>
    <w:rsid w:val="1CA80A1A"/>
    <w:rsid w:val="1CA84A27"/>
    <w:rsid w:val="1CE0619C"/>
    <w:rsid w:val="1F772D2E"/>
    <w:rsid w:val="26164E0B"/>
    <w:rsid w:val="27C64068"/>
    <w:rsid w:val="293D5638"/>
    <w:rsid w:val="2A3B692A"/>
    <w:rsid w:val="2F9724A4"/>
    <w:rsid w:val="2FB42086"/>
    <w:rsid w:val="33941A2F"/>
    <w:rsid w:val="353E60E6"/>
    <w:rsid w:val="3AF01941"/>
    <w:rsid w:val="3B181801"/>
    <w:rsid w:val="3C3A6FCB"/>
    <w:rsid w:val="413C6193"/>
    <w:rsid w:val="49670CFC"/>
    <w:rsid w:val="496E0D41"/>
    <w:rsid w:val="4ACD5D3A"/>
    <w:rsid w:val="4CB47744"/>
    <w:rsid w:val="5036696E"/>
    <w:rsid w:val="51DF4444"/>
    <w:rsid w:val="56CA282C"/>
    <w:rsid w:val="58383D13"/>
    <w:rsid w:val="5A054C64"/>
    <w:rsid w:val="5A6C76F1"/>
    <w:rsid w:val="61474CB9"/>
    <w:rsid w:val="6215396C"/>
    <w:rsid w:val="648E5907"/>
    <w:rsid w:val="68CC3511"/>
    <w:rsid w:val="69D925B6"/>
    <w:rsid w:val="6E3D27EA"/>
    <w:rsid w:val="6F3943DC"/>
    <w:rsid w:val="6F7615ED"/>
    <w:rsid w:val="7040660E"/>
    <w:rsid w:val="75D75AB8"/>
    <w:rsid w:val="78A83051"/>
    <w:rsid w:val="7A1C72A4"/>
    <w:rsid w:val="7C40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widowControl/>
      <w:numPr>
        <w:ilvl w:val="0"/>
        <w:numId w:val="0"/>
      </w:numPr>
      <w:tabs>
        <w:tab w:val="left" w:pos="576"/>
        <w:tab w:val="clear" w:pos="432"/>
      </w:tabs>
      <w:spacing w:before="180" w:after="180" w:line="240" w:lineRule="auto"/>
      <w:ind w:left="576" w:hanging="576"/>
      <w:jc w:val="left"/>
      <w:outlineLvl w:val="1"/>
    </w:pPr>
    <w:rPr>
      <w:rFonts w:ascii="Arial" w:hAnsi="Arial" w:eastAsia="MS Mincho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8"/>
    <w:qFormat/>
    <w:uiPriority w:val="0"/>
    <w:pPr>
      <w:ind w:left="1135"/>
    </w:pPr>
  </w:style>
  <w:style w:type="paragraph" w:styleId="8">
    <w:name w:val="List 2"/>
    <w:basedOn w:val="9"/>
    <w:qFormat/>
    <w:uiPriority w:val="0"/>
    <w:pPr>
      <w:ind w:left="851"/>
    </w:pPr>
  </w:style>
  <w:style w:type="paragraph" w:styleId="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0">
    <w:name w:val="annotation text"/>
    <w:basedOn w:val="1"/>
    <w:qFormat/>
    <w:uiPriority w:val="99"/>
  </w:style>
  <w:style w:type="paragraph" w:styleId="11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paragraph" w:styleId="12">
    <w:name w:val="List 5"/>
    <w:basedOn w:val="13"/>
    <w:qFormat/>
    <w:uiPriority w:val="0"/>
    <w:pPr>
      <w:ind w:left="1702"/>
    </w:pPr>
  </w:style>
  <w:style w:type="paragraph" w:styleId="13">
    <w:name w:val="List 4"/>
    <w:basedOn w:val="7"/>
    <w:qFormat/>
    <w:uiPriority w:val="0"/>
    <w:pPr>
      <w:ind w:left="1418"/>
    </w:pPr>
  </w:style>
  <w:style w:type="table" w:styleId="15">
    <w:name w:val="Table Grid"/>
    <w:basedOn w:val="14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NO"/>
    <w:basedOn w:val="1"/>
    <w:qFormat/>
    <w:uiPriority w:val="0"/>
    <w:pPr>
      <w:keepLines/>
      <w:ind w:left="1135" w:hanging="851"/>
    </w:pPr>
  </w:style>
  <w:style w:type="paragraph" w:styleId="18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9">
    <w:name w:val="B1"/>
    <w:basedOn w:val="9"/>
    <w:qFormat/>
    <w:uiPriority w:val="0"/>
    <w:pPr>
      <w:widowControl/>
      <w:overflowPunct w:val="0"/>
      <w:autoSpaceDE w:val="0"/>
      <w:autoSpaceDN w:val="0"/>
      <w:adjustRightInd w:val="0"/>
      <w:spacing w:after="180"/>
      <w:ind w:left="568" w:hanging="284" w:firstLineChars="0"/>
      <w:jc w:val="left"/>
      <w:textAlignment w:val="baseline"/>
    </w:pPr>
    <w:rPr>
      <w:rFonts w:ascii="Times New Roman" w:hAnsi="Times New Roman" w:eastAsia="Times New Roman"/>
      <w:kern w:val="0"/>
      <w:sz w:val="20"/>
      <w:szCs w:val="20"/>
      <w:lang w:val="en-GB" w:eastAsia="en-US"/>
    </w:rPr>
  </w:style>
  <w:style w:type="paragraph" w:customStyle="1" w:styleId="20">
    <w:name w:val="TH"/>
    <w:basedOn w:val="1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customStyle="1" w:styleId="21">
    <w:name w:val="TF"/>
    <w:basedOn w:val="20"/>
    <w:qFormat/>
    <w:uiPriority w:val="0"/>
    <w:pPr>
      <w:keepNext w:val="0"/>
      <w:spacing w:before="0" w:after="240"/>
    </w:pPr>
  </w:style>
  <w:style w:type="paragraph" w:customStyle="1" w:styleId="2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23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  <w:style w:type="paragraph" w:customStyle="1" w:styleId="24">
    <w:name w:val="issue"/>
    <w:basedOn w:val="5"/>
    <w:qFormat/>
    <w:uiPriority w:val="0"/>
    <w:pPr>
      <w:numPr>
        <w:ilvl w:val="0"/>
        <w:numId w:val="0"/>
      </w:numPr>
      <w:tabs>
        <w:tab w:val="left" w:pos="432"/>
        <w:tab w:val="clear" w:pos="864"/>
      </w:tabs>
      <w:spacing w:before="0" w:after="120"/>
    </w:pPr>
    <w:rPr>
      <w:rFonts w:ascii="Times New Roman" w:hAnsi="Times New Roman" w:eastAsia="Times New Roman"/>
      <w:b/>
      <w:color w:val="000000" w:themeColor="text1"/>
      <w:sz w:val="20"/>
      <w:szCs w:val="20"/>
      <w:u w:val="single"/>
      <w:lang w:val="en-US" w:eastAsia="ko-KR"/>
      <w14:textFill>
        <w14:solidFill>
          <w14:schemeClr w14:val="tx1"/>
        </w14:solidFill>
      </w14:textFill>
    </w:rPr>
  </w:style>
  <w:style w:type="paragraph" w:customStyle="1" w:styleId="25">
    <w:name w:val="B5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2024-11-03T00:48:00Z</dcterms:created>
  <dc:creator>cmcc</dc:creator>
  <cp:lastModifiedBy>CMCC-RAN4#116</cp:lastModifiedBy>
  <dcterms:modified xsi:type="dcterms:W3CDTF">2025-08-15T07:02:58Z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13EA236B3BF348BFA305056C5C1ABE48</vt:lpwstr>
  </property>
</Properties>
</file>